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center"/>
        <w:rPr>
          <w:rFonts w:ascii="Calibri Light" w:cs="Calibri Light" w:eastAsia="Times New Roman" w:hAnsi="Calibri Light"/>
          <w:b/>
          <w:bCs/>
          <w:sz w:val="24"/>
          <w:szCs w:val="24"/>
          <w:lang w:eastAsia="ru-RU" w:val="en-US"/>
        </w:rPr>
      </w:pPr>
      <w:r>
        <w:rPr>
          <w:rFonts w:ascii="Calibri Light" w:cs="Calibri Light" w:eastAsia="Times New Roman" w:hAnsi="Calibri Light"/>
          <w:b/>
          <w:bCs/>
          <w:sz w:val="24"/>
          <w:szCs w:val="24"/>
          <w:lang w:eastAsia="ru-RU" w:val="en-US"/>
        </w:rPr>
        <w:t>WHO IS WHO NOTE</w:t>
      </w:r>
    </w:p>
    <w:p>
      <w:pPr>
        <w:pStyle w:val="style0"/>
        <w:spacing w:line="100" w:lineRule="atLeast"/>
        <w:rPr>
          <w:rFonts w:ascii="Calibri Light" w:cs="Calibri Light" w:eastAsia="Times New Roman" w:hAnsi="Calibri Light"/>
          <w:sz w:val="24"/>
          <w:szCs w:val="24"/>
          <w:lang w:eastAsia="ru-RU" w:val="en-US"/>
        </w:rPr>
      </w:pPr>
      <w:r>
        <w:rPr>
          <w:rFonts w:ascii="Calibri Light" w:cs="Calibri Light" w:eastAsia="Times New Roman" w:hAnsi="Calibri Light"/>
          <w:b/>
          <w:bCs/>
          <w:sz w:val="24"/>
          <w:szCs w:val="24"/>
          <w:lang w:eastAsia="ru-RU" w:val="en-US"/>
        </w:rPr>
        <w:t xml:space="preserve">RUSSOFT </w:t>
      </w:r>
      <w:hyperlink r:id="rId2">
        <w:r>
          <w:rPr>
            <w:rStyle w:val="style17"/>
            <w:rFonts w:ascii="Calibri Light" w:cs="Calibri Light" w:eastAsia="Times New Roman" w:hAnsi="Calibri Light"/>
            <w:b/>
            <w:bCs/>
            <w:sz w:val="24"/>
            <w:szCs w:val="24"/>
            <w:lang w:eastAsia="ru-RU" w:val="en-US"/>
          </w:rPr>
          <w:t>www.russoft.org</w:t>
        </w:r>
      </w:hyperlink>
      <w:r>
        <w:rPr>
          <w:rFonts w:ascii="Calibri Light" w:cs="Calibri Light" w:eastAsia="Times New Roman" w:hAnsi="Calibri Light"/>
          <w:b/>
          <w:bCs/>
          <w:sz w:val="24"/>
          <w:szCs w:val="24"/>
          <w:lang w:eastAsia="ru-RU" w:val="en-US"/>
        </w:rPr>
        <w:t xml:space="preserve"> </w:t>
      </w:r>
      <w:r>
        <w:rPr>
          <w:rFonts w:ascii="Calibri Light" w:cs="Calibri Light" w:eastAsia="Times New Roman" w:hAnsi="Calibri Light"/>
          <w:sz w:val="24"/>
          <w:szCs w:val="24"/>
          <w:lang w:eastAsia="ru-RU" w:val="en-US"/>
        </w:rPr>
        <w:t>is the largest Russian Association of vendors and software development companies with more than a hundred members with total staff of over 35 000 highly qualified software engineers. Eight members of RUSSOFT are listed among Top 100 Best World Global Service Providers and eight others are in Gartner Magic Quadrants and in similar ratings of software vendors.</w:t>
      </w:r>
    </w:p>
    <w:p>
      <w:pPr>
        <w:pStyle w:val="style0"/>
        <w:spacing w:line="100" w:lineRule="atLeast"/>
        <w:rPr>
          <w:rFonts w:ascii="Calibri Light" w:cs="Calibri Light" w:eastAsia="Times New Roman" w:hAnsi="Calibri Light"/>
          <w:sz w:val="24"/>
          <w:szCs w:val="24"/>
          <w:lang w:eastAsia="ru-RU" w:val="en-US"/>
        </w:rPr>
      </w:pPr>
      <w:r>
        <w:rPr>
          <w:rFonts w:ascii="Calibri Light" w:cs="Calibri Light" w:eastAsia="Times New Roman" w:hAnsi="Calibri Light"/>
          <w:b/>
          <w:bCs/>
          <w:sz w:val="24"/>
          <w:szCs w:val="24"/>
          <w:lang w:eastAsia="ru-RU" w:val="en-US"/>
        </w:rPr>
        <w:t>Russian Venture Company</w:t>
      </w:r>
      <w:r>
        <w:rPr>
          <w:rFonts w:ascii="Calibri Light" w:cs="Calibri Light" w:eastAsia="Times New Roman" w:hAnsi="Calibri Light"/>
          <w:sz w:val="24"/>
          <w:szCs w:val="24"/>
          <w:lang w:eastAsia="ru-RU" w:val="en-US"/>
        </w:rPr>
        <w:t xml:space="preserve"> </w:t>
      </w:r>
      <w:r>
        <w:rPr>
          <w:rFonts w:ascii="Calibri Light" w:cs="Calibri Light" w:eastAsia="Times New Roman" w:hAnsi="Calibri Light"/>
          <w:b/>
          <w:sz w:val="24"/>
          <w:szCs w:val="24"/>
          <w:lang w:eastAsia="ru-RU" w:val="en-US"/>
        </w:rPr>
        <w:t xml:space="preserve">RVC </w:t>
      </w:r>
      <w:hyperlink r:id="rId3">
        <w:r>
          <w:rPr>
            <w:rStyle w:val="style17"/>
            <w:rFonts w:ascii="Calibri Light" w:cs="Calibri Light" w:eastAsia="Times New Roman" w:hAnsi="Calibri Light"/>
            <w:b/>
            <w:sz w:val="24"/>
            <w:szCs w:val="24"/>
            <w:lang w:eastAsia="ru-RU" w:val="en-US"/>
          </w:rPr>
          <w:t>www.rusventure.ru</w:t>
        </w:r>
      </w:hyperlink>
      <w:r>
        <w:rPr>
          <w:rFonts w:ascii="Calibri Light" w:cs="Calibri Light" w:eastAsia="Times New Roman" w:hAnsi="Calibri Light"/>
          <w:sz w:val="24"/>
          <w:szCs w:val="24"/>
          <w:lang w:eastAsia="ru-RU" w:val="en-US"/>
        </w:rPr>
        <w:t xml:space="preserve"> is a specialized State VC funding and development agency. RVC is a sponsor of numerous networking and export promotion events worldwide. RVC supports Russoft missions and is the co-organizer of the current business-mission of the leading Russian software developers to Switzerland in December 2015.</w:t>
      </w:r>
    </w:p>
    <w:p>
      <w:pPr>
        <w:pStyle w:val="style0"/>
        <w:spacing w:after="0" w:before="0" w:line="100" w:lineRule="atLeast"/>
        <w:contextualSpacing w:val="false"/>
        <w:jc w:val="both"/>
        <w:rPr>
          <w:rFonts w:ascii="Calibri Light" w:cs="Calibri Light" w:eastAsia="Times New Roman" w:hAnsi="Calibri Light"/>
          <w:sz w:val="24"/>
          <w:szCs w:val="24"/>
          <w:lang w:eastAsia="ru-RU" w:val="en-US"/>
        </w:rPr>
      </w:pPr>
      <w:r>
        <w:rPr>
          <w:rFonts w:ascii="Calibri Light" w:cs="Calibri Light" w:eastAsia="Times New Roman" w:hAnsi="Calibri Light"/>
          <w:b/>
          <w:sz w:val="24"/>
          <w:szCs w:val="24"/>
          <w:lang w:eastAsia="ru-RU" w:val="en-US"/>
        </w:rPr>
        <w:t xml:space="preserve">Members of Russoft business-mission to Switzerland </w:t>
      </w:r>
      <w:r>
        <w:rPr>
          <w:rFonts w:ascii="Calibri Light" w:cs="Calibri Light" w:eastAsia="Times New Roman" w:hAnsi="Calibri Light"/>
          <w:sz w:val="24"/>
          <w:szCs w:val="24"/>
          <w:lang w:eastAsia="ru-RU" w:val="en-US"/>
        </w:rPr>
        <w:t xml:space="preserve"> are leaders in Russia and worldwide in IT solutions for banking, telecommunications, HI-TECH, aviation, pharmaceutical, energy and tourism. </w:t>
      </w:r>
    </w:p>
    <w:p>
      <w:pPr>
        <w:pStyle w:val="style0"/>
        <w:spacing w:after="0" w:before="280" w:line="100" w:lineRule="atLeast"/>
        <w:contextualSpacing w:val="false"/>
        <w:rPr>
          <w:rFonts w:ascii="Calibri Light" w:cs="Calibri Light" w:hAnsi="Calibri Light"/>
          <w:sz w:val="24"/>
          <w:szCs w:val="24"/>
          <w:lang w:val="en-US"/>
        </w:rPr>
      </w:pPr>
      <w:r>
        <w:rPr>
          <w:rFonts w:ascii="Calibri Light" w:cs="Calibri Light" w:eastAsia="Times New Roman" w:hAnsi="Calibri Light"/>
          <w:b/>
          <w:sz w:val="24"/>
          <w:szCs w:val="24"/>
          <w:lang w:eastAsia="ru-RU" w:val="en-US"/>
        </w:rPr>
        <w:t xml:space="preserve">ARCADIA </w:t>
      </w:r>
      <w:hyperlink r:id="rId4">
        <w:r>
          <w:rPr>
            <w:rStyle w:val="style17"/>
            <w:rFonts w:ascii="Calibri Light" w:cs="Calibri Light" w:hAnsi="Calibri Light"/>
            <w:b/>
            <w:sz w:val="24"/>
            <w:szCs w:val="24"/>
            <w:lang w:val="en-US"/>
          </w:rPr>
          <w:t>www.arcadia.spb.ru</w:t>
        </w:r>
      </w:hyperlink>
      <w:r>
        <w:rPr>
          <w:rFonts w:ascii="Calibri Light" w:cs="Calibri Light" w:hAnsi="Calibri Light"/>
          <w:sz w:val="24"/>
          <w:szCs w:val="24"/>
          <w:lang w:val="en-US"/>
        </w:rPr>
        <w:t xml:space="preserve"> has yearly turnover at EUR 10.5 million in 2014. It develops solutions for business process automation BPA, human resource management HRM, workflow, accounting and finance, digital publishing, education and e-learning, pharmaceutical enterprise, data warehousing, insurance workflow automation, corporate and collaboration portals, information security and data protection, developer tools, compilers and IDEs. </w:t>
      </w:r>
    </w:p>
    <w:p>
      <w:pPr>
        <w:pStyle w:val="style0"/>
        <w:spacing w:after="0" w:before="280" w:line="100" w:lineRule="atLeast"/>
        <w:contextualSpacing w:val="false"/>
        <w:rPr>
          <w:rFonts w:ascii="Calibri Light" w:cs="Calibri Light" w:hAnsi="Calibri Light"/>
          <w:sz w:val="24"/>
          <w:szCs w:val="24"/>
          <w:lang w:val="en-US"/>
        </w:rPr>
      </w:pPr>
      <w:r>
        <w:rPr>
          <w:rFonts w:ascii="Calibri Light" w:cs="Calibri Light" w:eastAsia="Times New Roman" w:hAnsi="Calibri Light"/>
          <w:b/>
          <w:sz w:val="24"/>
          <w:szCs w:val="24"/>
          <w:lang w:eastAsia="ru-RU" w:val="en-US"/>
        </w:rPr>
        <w:t xml:space="preserve">DataArt </w:t>
      </w:r>
      <w:r>
        <w:rPr>
          <w:rStyle w:val="style17"/>
          <w:rFonts w:ascii="Calibri Light" w:cs="Calibri Light" w:hAnsi="Calibri Light"/>
          <w:b/>
          <w:sz w:val="24"/>
          <w:szCs w:val="24"/>
          <w:lang w:val="en-US"/>
        </w:rPr>
        <w:t>www.dataart.com</w:t>
      </w:r>
      <w:r>
        <w:rPr>
          <w:rFonts w:ascii="Calibri Light" w:cs="Calibri Light" w:hAnsi="Calibri Light"/>
          <w:sz w:val="24"/>
          <w:szCs w:val="24"/>
          <w:lang w:val="en-US"/>
        </w:rPr>
        <w:t xml:space="preserve"> has yearly turnover USD 50 million,  number of employees - 1500 Develops projects for world’s leading brands in the financial services, healthcare, travel &amp; hospitality, media &amp; IoT sectors. Its clients are McGraw-Hill Financial, Coller Capital, BankingUp, Ocado, artnet, Betfair, Skyscanner, Collette Vacations, Booker and Charles River Laboratories.</w:t>
      </w:r>
    </w:p>
    <w:p>
      <w:pPr>
        <w:pStyle w:val="style0"/>
        <w:spacing w:after="0" w:before="280" w:line="100" w:lineRule="atLeast"/>
        <w:contextualSpacing w:val="false"/>
        <w:rPr>
          <w:rFonts w:ascii="Calibri Light" w:cs="Calibri Light" w:hAnsi="Calibri Light"/>
          <w:sz w:val="24"/>
          <w:szCs w:val="24"/>
          <w:lang w:val="en-US"/>
        </w:rPr>
      </w:pPr>
      <w:r>
        <w:rPr>
          <w:rFonts w:ascii="Calibri Light" w:cs="Calibri Light" w:eastAsia="Times New Roman" w:hAnsi="Calibri Light"/>
          <w:b/>
          <w:sz w:val="24"/>
          <w:szCs w:val="24"/>
          <w:lang w:eastAsia="ru-RU" w:val="en-US"/>
        </w:rPr>
        <w:t xml:space="preserve">LUXOFT </w:t>
      </w:r>
      <w:r>
        <w:rPr>
          <w:rStyle w:val="style17"/>
          <w:rFonts w:ascii="Calibri Light" w:cs="Calibri Light" w:hAnsi="Calibri Light"/>
          <w:b/>
          <w:sz w:val="24"/>
          <w:szCs w:val="24"/>
          <w:lang w:val="en-US"/>
        </w:rPr>
        <w:t>www.luxoft.com</w:t>
      </w:r>
      <w:r>
        <w:rPr>
          <w:rFonts w:ascii="Calibri Light" w:cs="Calibri Light" w:hAnsi="Calibri Light"/>
          <w:sz w:val="24"/>
          <w:szCs w:val="24"/>
          <w:lang w:val="en-US"/>
        </w:rPr>
        <w:t xml:space="preserve"> in 2014 reached USD 520,5 million revenue, number of employees – 10000. Luxoft is a public company traded at NYSE: LXFT. Luxoft products: Horizon, SuperCloud, Twister and iStockTrack. Industry focus: financial services, automotive and transport, telecommunications, traveling and aviation, technology and energy. Major clients in Western Europe and North America:  Deutsche bank, UBS, Boeing, Harman, Ford, AMD. </w:t>
      </w:r>
    </w:p>
    <w:p>
      <w:pPr>
        <w:pStyle w:val="style0"/>
        <w:spacing w:after="0" w:before="280" w:line="100" w:lineRule="atLeast"/>
        <w:contextualSpacing w:val="false"/>
        <w:rPr>
          <w:rFonts w:ascii="Calibri Light" w:cs="Calibri Light" w:eastAsia="Times New Roman" w:hAnsi="Calibri Light"/>
          <w:sz w:val="24"/>
          <w:szCs w:val="24"/>
          <w:lang w:eastAsia="ru-RU" w:val="en-US"/>
        </w:rPr>
      </w:pPr>
      <w:r>
        <w:rPr>
          <w:rFonts w:ascii="Calibri Light" w:cs="Calibri Light" w:eastAsia="Times New Roman" w:hAnsi="Calibri Light"/>
          <w:b/>
          <w:sz w:val="24"/>
          <w:szCs w:val="24"/>
          <w:lang w:eastAsia="ru-RU" w:val="en-US"/>
        </w:rPr>
        <w:t>KENTOR</w:t>
      </w:r>
      <w:r>
        <w:rPr>
          <w:rFonts w:ascii="Calibri Light" w:cs="Calibri Light" w:eastAsia="Times New Roman" w:hAnsi="Calibri Light"/>
          <w:sz w:val="24"/>
          <w:szCs w:val="24"/>
          <w:lang w:eastAsia="ru-RU" w:val="en-US"/>
        </w:rPr>
        <w:t xml:space="preserve"> </w:t>
      </w:r>
      <w:hyperlink r:id="rId5">
        <w:r>
          <w:rPr>
            <w:rStyle w:val="style17"/>
            <w:b/>
            <w:lang w:val="en-US"/>
          </w:rPr>
          <w:t>www.kentor.ru</w:t>
        </w:r>
      </w:hyperlink>
      <w:r>
        <w:rPr>
          <w:rFonts w:ascii="Calibri Light" w:cs="Calibri Light" w:eastAsia="Times New Roman" w:hAnsi="Calibri Light"/>
          <w:sz w:val="24"/>
          <w:szCs w:val="24"/>
          <w:lang w:eastAsia="ru-RU" w:val="en-US"/>
        </w:rPr>
        <w:t>  has yearly turnover EUR 27 million, number of employees - 270 in Sweden, Norway and Russia. It specializes on customized software development; offshore development centers, consulting. Primary industries: telecom, transport, healthcare and pharmaceutical. Clents: ComHem, Tele2, HBO, RiksTV; public transport in Stockholm – SL and Keolis; Pfizer, Sanofi Aventis, Aleris, OralCare.</w:t>
      </w:r>
    </w:p>
    <w:p>
      <w:pPr>
        <w:pStyle w:val="style0"/>
        <w:spacing w:after="0" w:before="280" w:line="100" w:lineRule="atLeast"/>
        <w:contextualSpacing w:val="false"/>
        <w:rPr>
          <w:rFonts w:ascii="Calibri Light" w:cs="Calibri Light" w:hAnsi="Calibri Light"/>
          <w:sz w:val="24"/>
          <w:szCs w:val="24"/>
          <w:lang w:val="en-US"/>
        </w:rPr>
      </w:pPr>
      <w:r>
        <w:rPr>
          <w:rFonts w:ascii="Calibri Light" w:cs="Calibri Light" w:eastAsia="Times New Roman" w:hAnsi="Calibri Light"/>
          <w:b/>
          <w:sz w:val="24"/>
          <w:szCs w:val="24"/>
          <w:lang w:eastAsia="ru-RU" w:val="en-US"/>
        </w:rPr>
        <w:t xml:space="preserve">ALPHAOPEN </w:t>
      </w:r>
      <w:hyperlink r:id="rId6">
        <w:r>
          <w:rPr>
            <w:rStyle w:val="style17"/>
            <w:rFonts w:ascii="Calibri Light" w:cs="Calibri Light" w:hAnsi="Calibri Light"/>
            <w:b/>
            <w:sz w:val="24"/>
            <w:szCs w:val="24"/>
            <w:lang w:val="en-US"/>
          </w:rPr>
          <w:t>www.alphaopen.com</w:t>
        </w:r>
      </w:hyperlink>
      <w:r>
        <w:rPr>
          <w:rFonts w:ascii="Calibri Light" w:cs="Calibri Light" w:hAnsi="Calibri Light"/>
          <w:b/>
          <w:sz w:val="24"/>
          <w:szCs w:val="24"/>
          <w:lang w:val="en-US"/>
        </w:rPr>
        <w:t xml:space="preserve"> </w:t>
      </w:r>
      <w:r>
        <w:rPr>
          <w:rFonts w:ascii="Calibri Light" w:cs="Calibri Light" w:hAnsi="Calibri Light"/>
          <w:sz w:val="24"/>
          <w:szCs w:val="24"/>
          <w:lang w:val="en-US"/>
        </w:rPr>
        <w:t xml:space="preserve">is a leading software vendor, developing the </w:t>
      </w:r>
      <w:hyperlink r:id="rId7">
        <w:r>
          <w:rPr>
            <w:rStyle w:val="style17"/>
            <w:rFonts w:ascii="Calibri Light" w:cs="Calibri Light" w:hAnsi="Calibri Light"/>
            <w:sz w:val="24"/>
            <w:szCs w:val="24"/>
            <w:lang w:val="en-US"/>
          </w:rPr>
          <w:t>Symmetra.net</w:t>
        </w:r>
      </w:hyperlink>
      <w:r>
        <w:rPr>
          <w:rFonts w:ascii="Calibri Light" w:cs="Calibri Light" w:hAnsi="Calibri Light"/>
          <w:sz w:val="24"/>
          <w:szCs w:val="24"/>
          <w:lang w:val="en-US"/>
        </w:rPr>
        <w:t xml:space="preserve"> cloud platform for Internet-of-things, Big data analytics and Smart City solutions. </w:t>
      </w:r>
      <w:hyperlink r:id="rId8">
        <w:r>
          <w:rPr>
            <w:rStyle w:val="style17"/>
            <w:rFonts w:ascii="Calibri Light" w:cs="Calibri Light" w:hAnsi="Calibri Light"/>
            <w:sz w:val="24"/>
            <w:szCs w:val="24"/>
            <w:lang w:val="en-US"/>
          </w:rPr>
          <w:t>Symmetra.net</w:t>
        </w:r>
      </w:hyperlink>
      <w:r>
        <w:rPr>
          <w:rFonts w:ascii="Calibri Light" w:cs="Calibri Light" w:hAnsi="Calibri Light"/>
          <w:sz w:val="24"/>
          <w:szCs w:val="24"/>
          <w:lang w:val="en-US"/>
        </w:rPr>
        <w:t xml:space="preserve"> platform aims for a wide spectrum of "Smart IoT" and "Smart &amp; Safe City" solutions: Integrated security, based on cross analysis of data from various systems and sensors, Intelligent buildings and Smart automation, Energy management, Facility management, Smart transportation, Toll roads, and connects more than 30 types of systems of &gt;70 international vendors, including Communications and IT-infrastructure, Video cameras &amp; video analytics (face recognition, license plate number recognition, etc), Fire alarm &amp; Protective systems, Security alarm and Perimeter security, Access control, Buildings automation, Power and lighting, Water supply, Multimedia systems, Transport monitoring, and many more. </w:t>
      </w:r>
    </w:p>
    <w:sectPr>
      <w:type w:val="nextPage"/>
      <w:pgSz w:h="16838" w:w="11906"/>
      <w:pgMar w:bottom="1134" w:footer="0" w:gutter="0" w:header="0" w:left="1701" w:right="850" w:top="1134"/>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swiss"/>
    <w:pitch w:val="variable"/>
  </w:font>
  <w:font w:name="Courier New">
    <w:charset w:val="cc"/>
    <w:family w:val="roman"/>
    <w:pitch w:val="variable"/>
  </w:font>
  <w:font w:name="Calibri Light">
    <w:charset w:val="cc"/>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Calibri" w:hAnsi="Calibri"/>
      <w:color w:val="00000A"/>
      <w:sz w:val="22"/>
      <w:szCs w:val="22"/>
      <w:lang w:bidi="ar-SA" w:eastAsia="zh-CN" w:val="ru-RU"/>
    </w:rPr>
  </w:style>
  <w:style w:styleId="style15" w:type="character">
    <w:name w:val="Default Paragraph Font"/>
    <w:next w:val="style15"/>
    <w:rPr/>
  </w:style>
  <w:style w:styleId="style16" w:type="character">
    <w:name w:val="Основной шрифт абзаца1"/>
    <w:next w:val="style16"/>
    <w:rPr/>
  </w:style>
  <w:style w:styleId="style17" w:type="character">
    <w:name w:val="Интернет-ссылка"/>
    <w:basedOn w:val="style15"/>
    <w:next w:val="style17"/>
    <w:rPr>
      <w:color w:val="0000FF"/>
      <w:u w:val="single"/>
      <w:lang w:bidi="zxx-" w:eastAsia="zxx-" w:val="zxx-"/>
    </w:rPr>
  </w:style>
  <w:style w:styleId="style18" w:type="character">
    <w:name w:val="Посещённая гиперссылка"/>
    <w:next w:val="style18"/>
    <w:rPr>
      <w:color w:val="954F72"/>
      <w:u w:val="single"/>
      <w:lang w:bidi="zxx-" w:eastAsia="zxx-" w:val="zxx-"/>
    </w:rPr>
  </w:style>
  <w:style w:styleId="style19" w:type="character">
    <w:name w:val="FollowedHyperlink"/>
    <w:basedOn w:val="style15"/>
    <w:next w:val="style19"/>
    <w:rPr>
      <w:color w:val="800080"/>
      <w:u w:val="single"/>
    </w:rPr>
  </w:style>
  <w:style w:styleId="style20" w:type="paragraph">
    <w:name w:val="Заголовок"/>
    <w:basedOn w:val="style0"/>
    <w:next w:val="style21"/>
    <w:pPr>
      <w:keepNext/>
      <w:spacing w:after="120" w:before="240"/>
      <w:contextualSpacing w:val="false"/>
    </w:pPr>
    <w:rPr>
      <w:rFonts w:ascii="Arial" w:cs="Mangal" w:eastAsia="Microsoft YaHei" w:hAnsi="Arial"/>
      <w:sz w:val="28"/>
      <w:szCs w:val="28"/>
    </w:rPr>
  </w:style>
  <w:style w:styleId="style21" w:type="paragraph">
    <w:name w:val="Основной текст"/>
    <w:basedOn w:val="style0"/>
    <w:next w:val="style21"/>
    <w:pPr>
      <w:spacing w:after="120" w:before="0"/>
      <w:contextualSpacing w:val="false"/>
    </w:pPr>
    <w:rPr/>
  </w:style>
  <w:style w:styleId="style22" w:type="paragraph">
    <w:name w:val="Список"/>
    <w:basedOn w:val="style21"/>
    <w:next w:val="style22"/>
    <w:pPr/>
    <w:rPr>
      <w:rFonts w:cs="Mangal"/>
    </w:rPr>
  </w:style>
  <w:style w:styleId="style23" w:type="paragraph">
    <w:name w:val="Название"/>
    <w:basedOn w:val="style0"/>
    <w:next w:val="style23"/>
    <w:pPr>
      <w:suppressLineNumbers/>
      <w:spacing w:after="120" w:before="120"/>
      <w:contextualSpacing w:val="false"/>
    </w:pPr>
    <w:rPr>
      <w:rFonts w:cs="Mangal"/>
      <w:i/>
      <w:iCs/>
      <w:sz w:val="24"/>
      <w:szCs w:val="24"/>
    </w:rPr>
  </w:style>
  <w:style w:styleId="style24" w:type="paragraph">
    <w:name w:val="Указатель"/>
    <w:basedOn w:val="style0"/>
    <w:next w:val="style24"/>
    <w:pPr>
      <w:suppressLineNumbers/>
    </w:pPr>
    <w:rPr>
      <w:rFonts w:cs="Mangal"/>
    </w:rPr>
  </w:style>
  <w:style w:styleId="style25" w:type="paragraph">
    <w:name w:val="Заглавие"/>
    <w:basedOn w:val="style0"/>
    <w:next w:val="style25"/>
    <w:pPr>
      <w:suppressLineNumbers/>
      <w:spacing w:after="120" w:before="120"/>
      <w:contextualSpacing w:val="false"/>
      <w:jc w:val="left"/>
    </w:pPr>
    <w:rPr>
      <w:rFonts w:cs="Mangal"/>
      <w:i/>
      <w:iCs/>
      <w:sz w:val="24"/>
      <w:szCs w:val="24"/>
    </w:rPr>
  </w:style>
  <w:style w:styleId="style26" w:type="paragraph">
    <w:name w:val="index heading"/>
    <w:basedOn w:val="style0"/>
    <w:next w:val="style26"/>
    <w:pPr>
      <w:suppressLineNumbers/>
    </w:pPr>
    <w:rPr>
      <w:rFonts w:cs="Mangal"/>
    </w:rPr>
  </w:style>
  <w:style w:styleId="style27" w:type="paragraph">
    <w:name w:val="caption"/>
    <w:basedOn w:val="style0"/>
    <w:next w:val="style27"/>
    <w:pPr>
      <w:suppressLineNumbers/>
      <w:spacing w:after="120" w:before="120"/>
      <w:contextualSpacing w:val="false"/>
    </w:pPr>
    <w:rPr>
      <w:rFonts w:cs="Mangal"/>
      <w:i/>
      <w:iCs/>
      <w:sz w:val="24"/>
      <w:szCs w:val="24"/>
    </w:rPr>
  </w:style>
  <w:style w:styleId="style28" w:type="paragraph">
    <w:name w:val="Указатель1"/>
    <w:basedOn w:val="style0"/>
    <w:next w:val="style28"/>
    <w:pPr>
      <w:suppressLineNumbers/>
    </w:pPr>
    <w:rPr>
      <w:rFonts w:cs="Mangal"/>
    </w:rPr>
  </w:style>
  <w:style w:styleId="style29" w:type="paragraph">
    <w:name w:val="Текст в заданном формате"/>
    <w:basedOn w:val="style0"/>
    <w:next w:val="style29"/>
    <w:pPr>
      <w:spacing w:after="0" w:before="0"/>
      <w:contextualSpacing w:val="false"/>
    </w:pPr>
    <w:rPr>
      <w:rFonts w:ascii="Courier New" w:cs="Courier New" w:eastAsia="NSimSun" w:hAnsi="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soft.org/" TargetMode="External"/><Relationship Id="rId3" Type="http://schemas.openxmlformats.org/officeDocument/2006/relationships/hyperlink" Target="http://www.rusventure.ru/" TargetMode="External"/><Relationship Id="rId4" Type="http://schemas.openxmlformats.org/officeDocument/2006/relationships/hyperlink" Target="http://www.arcadia.spb.ru/" TargetMode="External"/><Relationship Id="rId5" Type="http://schemas.openxmlformats.org/officeDocument/2006/relationships/hyperlink" Target="http://www.kentor.ru/" TargetMode="External"/><Relationship Id="rId6" Type="http://schemas.openxmlformats.org/officeDocument/2006/relationships/hyperlink" Target="http://www.alphaopen.com/" TargetMode="External"/><Relationship Id="rId7" Type="http://schemas.openxmlformats.org/officeDocument/2006/relationships/hyperlink" Target="http://www.symmetra.net/en" TargetMode="External"/><Relationship Id="rId8" Type="http://schemas.openxmlformats.org/officeDocument/2006/relationships/hyperlink" Target="http://www.symmetra.net/en"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2015-11-24T08:46:00Z</dcterms:created>
  <dc:creator>Рожков Григорий</dc:creator>
  <cp:lastModifiedBy>Макаров</cp:lastModifiedBy>
  <dcterms:modified xsi:type="dcterms:W3CDTF">2015-11-24T08:46:00Z</dcterms:modified>
  <cp:revision>2</cp:revision>
</cp:coreProperties>
</file>